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B1D0" w14:textId="77777777" w:rsidR="00371389" w:rsidRPr="00371389" w:rsidRDefault="00371389">
      <w:pPr>
        <w:rPr>
          <w:u w:val="single"/>
        </w:rPr>
      </w:pPr>
      <w:r w:rsidRPr="00371389">
        <w:rPr>
          <w:u w:val="single"/>
        </w:rPr>
        <w:t>Updated 7-26-22 by Patricia Graham</w:t>
      </w:r>
    </w:p>
    <w:p w14:paraId="49F54A89" w14:textId="41E72FC0" w:rsidR="00DD45D3" w:rsidRPr="000F68CE" w:rsidRDefault="004B67D5">
      <w:pPr>
        <w:rPr>
          <w:b/>
          <w:u w:val="single"/>
        </w:rPr>
      </w:pPr>
      <w:r w:rsidRPr="000E0FFB">
        <w:rPr>
          <w:b/>
          <w:i/>
          <w:iCs/>
          <w:u w:val="single"/>
        </w:rPr>
        <w:t>Drosophila</w:t>
      </w:r>
      <w:r>
        <w:rPr>
          <w:b/>
          <w:u w:val="single"/>
        </w:rPr>
        <w:t xml:space="preserve"> </w:t>
      </w:r>
      <w:r w:rsidR="000F68CE" w:rsidRPr="000F68CE">
        <w:rPr>
          <w:b/>
          <w:u w:val="single"/>
        </w:rPr>
        <w:t>TSA Double Stain</w:t>
      </w:r>
      <w:r w:rsidR="00070AE8">
        <w:rPr>
          <w:b/>
          <w:u w:val="single"/>
        </w:rPr>
        <w:t xml:space="preserve"> as successful with biotin and dig probes</w:t>
      </w:r>
      <w:r w:rsidR="006F33C2">
        <w:rPr>
          <w:b/>
          <w:u w:val="single"/>
        </w:rPr>
        <w:t xml:space="preserve"> (Modified from </w:t>
      </w:r>
      <w:proofErr w:type="spellStart"/>
      <w:r w:rsidR="006F33C2">
        <w:rPr>
          <w:b/>
          <w:u w:val="single"/>
        </w:rPr>
        <w:t>Jie</w:t>
      </w:r>
      <w:proofErr w:type="spellEnd"/>
      <w:r w:rsidR="000E0FFB">
        <w:rPr>
          <w:b/>
          <w:u w:val="single"/>
        </w:rPr>
        <w:t xml:space="preserve"> Xiang</w:t>
      </w:r>
      <w:r w:rsidR="006F33C2">
        <w:rPr>
          <w:b/>
          <w:u w:val="single"/>
        </w:rPr>
        <w:t>’s protocol by Tricia 10/17)</w:t>
      </w:r>
    </w:p>
    <w:p w14:paraId="623938AB" w14:textId="77777777" w:rsidR="000F68CE" w:rsidRPr="000F68CE" w:rsidRDefault="000F68CE">
      <w:pPr>
        <w:rPr>
          <w:b/>
          <w:u w:val="single"/>
        </w:rPr>
      </w:pPr>
      <w:r w:rsidRPr="000F68CE">
        <w:rPr>
          <w:b/>
          <w:u w:val="single"/>
        </w:rPr>
        <w:t>Day 1 (2 hours)</w:t>
      </w:r>
    </w:p>
    <w:p w14:paraId="483FDC3A" w14:textId="77777777" w:rsidR="000F68CE" w:rsidRDefault="000F68CE" w:rsidP="000F68CE">
      <w:pPr>
        <w:pStyle w:val="ListParagraph"/>
        <w:numPr>
          <w:ilvl w:val="0"/>
          <w:numId w:val="1"/>
        </w:numPr>
      </w:pPr>
      <w:r>
        <w:t>Rinse 2X with MeOH</w:t>
      </w:r>
    </w:p>
    <w:p w14:paraId="54F06A52" w14:textId="77777777" w:rsidR="000F68CE" w:rsidRDefault="000F68CE" w:rsidP="000F68CE">
      <w:pPr>
        <w:pStyle w:val="ListParagraph"/>
        <w:numPr>
          <w:ilvl w:val="0"/>
          <w:numId w:val="1"/>
        </w:numPr>
      </w:pPr>
      <w:r>
        <w:t>Wash 2X 5 minutes RT with MeOH</w:t>
      </w:r>
    </w:p>
    <w:p w14:paraId="262BB00C" w14:textId="77777777" w:rsidR="000F68CE" w:rsidRDefault="000F68CE" w:rsidP="000F68CE">
      <w:pPr>
        <w:pStyle w:val="ListParagraph"/>
        <w:numPr>
          <w:ilvl w:val="0"/>
          <w:numId w:val="1"/>
        </w:numPr>
      </w:pPr>
      <w:r>
        <w:t xml:space="preserve">Wash 1X 5 minutes RT with 1:1 </w:t>
      </w:r>
      <w:proofErr w:type="spellStart"/>
      <w:proofErr w:type="gramStart"/>
      <w:r>
        <w:t>MeOH:PBST</w:t>
      </w:r>
      <w:proofErr w:type="spellEnd"/>
      <w:proofErr w:type="gramEnd"/>
    </w:p>
    <w:p w14:paraId="750D712E" w14:textId="77777777" w:rsidR="008D22E8" w:rsidRDefault="008D22E8" w:rsidP="008D22E8">
      <w:pPr>
        <w:pStyle w:val="ListParagraph"/>
        <w:numPr>
          <w:ilvl w:val="1"/>
          <w:numId w:val="1"/>
        </w:numPr>
      </w:pPr>
      <w:r>
        <w:t>Start the heat block and set to 95</w:t>
      </w:r>
      <w:r w:rsidRPr="008D22E8">
        <w:rPr>
          <w:vertAlign w:val="superscript"/>
        </w:rPr>
        <w:t>o</w:t>
      </w:r>
      <w:r>
        <w:t>C.</w:t>
      </w:r>
    </w:p>
    <w:p w14:paraId="1FBBF417" w14:textId="77777777" w:rsidR="008D22E8" w:rsidRDefault="008D22E8" w:rsidP="008D22E8">
      <w:pPr>
        <w:pStyle w:val="ListParagraph"/>
        <w:numPr>
          <w:ilvl w:val="1"/>
          <w:numId w:val="1"/>
        </w:numPr>
      </w:pPr>
      <w:r>
        <w:t>Make hybridization buffer (2.5 ml/sample for 500ul washes)</w:t>
      </w:r>
    </w:p>
    <w:p w14:paraId="088FCBEF" w14:textId="77777777" w:rsidR="000F68CE" w:rsidRDefault="000F68CE" w:rsidP="000F68CE">
      <w:pPr>
        <w:pStyle w:val="ListParagraph"/>
        <w:numPr>
          <w:ilvl w:val="0"/>
          <w:numId w:val="1"/>
        </w:numPr>
      </w:pPr>
      <w:r>
        <w:t>Fix 25 minutes RT with 4% PFA in PBST</w:t>
      </w:r>
    </w:p>
    <w:p w14:paraId="0F8F3E6F" w14:textId="77777777" w:rsidR="000F68CE" w:rsidRDefault="000F68CE" w:rsidP="000F68CE">
      <w:pPr>
        <w:pStyle w:val="ListParagraph"/>
        <w:numPr>
          <w:ilvl w:val="0"/>
          <w:numId w:val="1"/>
        </w:numPr>
      </w:pPr>
      <w:r>
        <w:t>Heat to 95</w:t>
      </w:r>
      <w:r w:rsidRPr="002A783F">
        <w:rPr>
          <w:vertAlign w:val="superscript"/>
        </w:rPr>
        <w:t>o</w:t>
      </w:r>
      <w:r>
        <w:t>C 5 minutes</w:t>
      </w:r>
    </w:p>
    <w:p w14:paraId="055ADB0E" w14:textId="77777777" w:rsidR="000F68CE" w:rsidRDefault="000F68CE" w:rsidP="000F68CE">
      <w:pPr>
        <w:pStyle w:val="ListParagraph"/>
        <w:numPr>
          <w:ilvl w:val="0"/>
          <w:numId w:val="1"/>
        </w:numPr>
      </w:pPr>
      <w:r>
        <w:t>Wash 1X 10 minutes 60</w:t>
      </w:r>
      <w:r w:rsidRPr="002A783F">
        <w:rPr>
          <w:vertAlign w:val="superscript"/>
        </w:rPr>
        <w:t>o</w:t>
      </w:r>
      <w:r>
        <w:t>C with 1:1 HB:PBST</w:t>
      </w:r>
    </w:p>
    <w:p w14:paraId="09925A71" w14:textId="77777777" w:rsidR="000F68CE" w:rsidRDefault="000F68CE" w:rsidP="000F68CE">
      <w:pPr>
        <w:pStyle w:val="ListParagraph"/>
        <w:numPr>
          <w:ilvl w:val="0"/>
          <w:numId w:val="1"/>
        </w:numPr>
      </w:pPr>
      <w:r>
        <w:t>Wash 2X 30 minutes 60</w:t>
      </w:r>
      <w:r w:rsidRPr="002A783F">
        <w:rPr>
          <w:vertAlign w:val="superscript"/>
        </w:rPr>
        <w:t>o</w:t>
      </w:r>
      <w:r>
        <w:t>C with HB</w:t>
      </w:r>
    </w:p>
    <w:p w14:paraId="4EA456EC" w14:textId="77777777" w:rsidR="000F68CE" w:rsidRDefault="000F68CE" w:rsidP="000F68CE">
      <w:pPr>
        <w:pStyle w:val="ListParagraph"/>
        <w:numPr>
          <w:ilvl w:val="1"/>
          <w:numId w:val="1"/>
        </w:numPr>
      </w:pPr>
      <w:r>
        <w:t>Heat probes to 95</w:t>
      </w:r>
      <w:r w:rsidRPr="002A783F">
        <w:rPr>
          <w:vertAlign w:val="superscript"/>
        </w:rPr>
        <w:t>o</w:t>
      </w:r>
      <w:r>
        <w:t>C 5 minutes and ice</w:t>
      </w:r>
    </w:p>
    <w:p w14:paraId="11A78C94" w14:textId="77777777" w:rsidR="000F68CE" w:rsidRDefault="000F68CE" w:rsidP="000F68CE">
      <w:pPr>
        <w:pStyle w:val="ListParagraph"/>
        <w:numPr>
          <w:ilvl w:val="0"/>
          <w:numId w:val="1"/>
        </w:numPr>
      </w:pPr>
      <w:r>
        <w:t>Incubate ON 60</w:t>
      </w:r>
      <w:r w:rsidRPr="000C7D15">
        <w:rPr>
          <w:vertAlign w:val="superscript"/>
        </w:rPr>
        <w:t>o</w:t>
      </w:r>
      <w:r>
        <w:t>C with probes</w:t>
      </w:r>
    </w:p>
    <w:p w14:paraId="63C8D25F" w14:textId="77777777" w:rsidR="008D22E8" w:rsidRPr="008D22E8" w:rsidRDefault="008D22E8" w:rsidP="008D22E8">
      <w:pPr>
        <w:pStyle w:val="ListParagraph"/>
        <w:numPr>
          <w:ilvl w:val="1"/>
          <w:numId w:val="1"/>
        </w:numPr>
        <w:rPr>
          <w:i/>
        </w:rPr>
      </w:pPr>
      <w:bookmarkStart w:id="0" w:name="_Hlk109728779"/>
      <w:r w:rsidRPr="008D22E8">
        <w:rPr>
          <w:i/>
        </w:rPr>
        <w:t xml:space="preserve">Probe concentrations must be determined empirically.  I have had different probes work at concentrations from 0.1 ng/ul to 25 ng/ul.  </w:t>
      </w:r>
      <w:proofErr w:type="spellStart"/>
      <w:r w:rsidRPr="008D22E8">
        <w:rPr>
          <w:i/>
        </w:rPr>
        <w:t>Jie</w:t>
      </w:r>
      <w:proofErr w:type="spellEnd"/>
      <w:r w:rsidRPr="008D22E8">
        <w:rPr>
          <w:i/>
        </w:rPr>
        <w:t xml:space="preserve"> said that all of her probes worked at the same concentration in TSA as in </w:t>
      </w:r>
      <w:proofErr w:type="spellStart"/>
      <w:r w:rsidRPr="008D22E8">
        <w:rPr>
          <w:i/>
        </w:rPr>
        <w:t>colorometric</w:t>
      </w:r>
      <w:proofErr w:type="spellEnd"/>
      <w:r w:rsidRPr="008D22E8">
        <w:rPr>
          <w:i/>
        </w:rPr>
        <w:t>, but this was not true for mine, and there seemed to be no consistent pattern as to whether you would need more or less concentrated probe for TSA.</w:t>
      </w:r>
    </w:p>
    <w:bookmarkEnd w:id="0"/>
    <w:p w14:paraId="2A3B60BA" w14:textId="77777777" w:rsidR="008D22E8" w:rsidRPr="008D22E8" w:rsidRDefault="008D22E8" w:rsidP="008D22E8">
      <w:pPr>
        <w:ind w:left="720"/>
      </w:pPr>
    </w:p>
    <w:p w14:paraId="42FA8DB8" w14:textId="77777777" w:rsidR="000F68CE" w:rsidRPr="00070AE8" w:rsidRDefault="000F68CE" w:rsidP="000F68CE">
      <w:pPr>
        <w:rPr>
          <w:b/>
          <w:u w:val="single"/>
        </w:rPr>
      </w:pPr>
      <w:r w:rsidRPr="00070AE8">
        <w:rPr>
          <w:b/>
          <w:u w:val="single"/>
        </w:rPr>
        <w:t xml:space="preserve">Day 2 (1.5 hours) </w:t>
      </w:r>
    </w:p>
    <w:p w14:paraId="211BB6FE" w14:textId="77777777" w:rsidR="000F68CE" w:rsidRDefault="000F68CE" w:rsidP="000F68CE">
      <w:pPr>
        <w:pStyle w:val="ListParagraph"/>
        <w:numPr>
          <w:ilvl w:val="0"/>
          <w:numId w:val="2"/>
        </w:numPr>
      </w:pPr>
      <w:r>
        <w:t>Wash 2X 30 minutes 60</w:t>
      </w:r>
      <w:r w:rsidRPr="002A783F">
        <w:rPr>
          <w:vertAlign w:val="superscript"/>
        </w:rPr>
        <w:t>o</w:t>
      </w:r>
      <w:r>
        <w:t>C with HB</w:t>
      </w:r>
    </w:p>
    <w:p w14:paraId="3F47FE5F" w14:textId="77777777" w:rsidR="000F68CE" w:rsidRDefault="000F68CE" w:rsidP="000F68CE">
      <w:pPr>
        <w:pStyle w:val="ListParagraph"/>
        <w:numPr>
          <w:ilvl w:val="0"/>
          <w:numId w:val="2"/>
        </w:numPr>
      </w:pPr>
      <w:r>
        <w:t>Wash 1X 10 minutes 60</w:t>
      </w:r>
      <w:r w:rsidRPr="002A783F">
        <w:rPr>
          <w:vertAlign w:val="superscript"/>
        </w:rPr>
        <w:t>o</w:t>
      </w:r>
      <w:r>
        <w:t>C with 1:1 HB:PBST</w:t>
      </w:r>
    </w:p>
    <w:p w14:paraId="47F66305" w14:textId="77777777" w:rsidR="000F68CE" w:rsidRDefault="000F68CE" w:rsidP="000F68CE">
      <w:pPr>
        <w:pStyle w:val="ListParagraph"/>
        <w:numPr>
          <w:ilvl w:val="0"/>
          <w:numId w:val="2"/>
        </w:numPr>
      </w:pPr>
      <w:r>
        <w:t>Wash 4X 5 minutes 60</w:t>
      </w:r>
      <w:r w:rsidRPr="002A783F">
        <w:rPr>
          <w:vertAlign w:val="superscript"/>
        </w:rPr>
        <w:t>o</w:t>
      </w:r>
      <w:r>
        <w:t>C with PBST</w:t>
      </w:r>
    </w:p>
    <w:p w14:paraId="52418EDB" w14:textId="77777777" w:rsidR="000F68CE" w:rsidRDefault="000F68CE" w:rsidP="000F68CE">
      <w:pPr>
        <w:pStyle w:val="ListParagraph"/>
        <w:numPr>
          <w:ilvl w:val="0"/>
          <w:numId w:val="2"/>
        </w:numPr>
      </w:pPr>
      <w:r>
        <w:t>Incubate ON 4</w:t>
      </w:r>
      <w:r w:rsidRPr="002A783F">
        <w:rPr>
          <w:vertAlign w:val="superscript"/>
        </w:rPr>
        <w:t>o</w:t>
      </w:r>
      <w:r w:rsidR="008D22E8">
        <w:t>C with one of the primary antibodies</w:t>
      </w:r>
      <w:r w:rsidR="00070AE8">
        <w:t xml:space="preserve"> (Note that the antibody to biotin is conjugated to HRP and so acts as both a primary and a secondary for our purposes.  The antibody to dig is not conjugated to HRP so you need to apply a secondary antibody before you can stain that probe.</w:t>
      </w:r>
    </w:p>
    <w:p w14:paraId="381251CF" w14:textId="77777777" w:rsidR="008D22E8" w:rsidRDefault="00511484" w:rsidP="000F68CE">
      <w:pPr>
        <w:pStyle w:val="ListParagraph"/>
        <w:numPr>
          <w:ilvl w:val="1"/>
          <w:numId w:val="2"/>
        </w:numPr>
        <w:rPr>
          <w:i/>
        </w:rPr>
      </w:pPr>
      <w:r>
        <w:rPr>
          <w:i/>
        </w:rPr>
        <w:t>In genera</w:t>
      </w:r>
      <w:r w:rsidR="008D22E8">
        <w:rPr>
          <w:i/>
        </w:rPr>
        <w:t>l</w:t>
      </w:r>
      <w:r>
        <w:rPr>
          <w:i/>
        </w:rPr>
        <w:t>,</w:t>
      </w:r>
      <w:r w:rsidR="008D22E8">
        <w:rPr>
          <w:i/>
        </w:rPr>
        <w:t xml:space="preserve"> it worked best to stain my weaker probe first and use TSA 488 for that one.</w:t>
      </w:r>
    </w:p>
    <w:p w14:paraId="31D93B68" w14:textId="77777777" w:rsidR="000F68CE" w:rsidRDefault="000F68CE" w:rsidP="000F68CE">
      <w:pPr>
        <w:pStyle w:val="ListParagraph"/>
        <w:numPr>
          <w:ilvl w:val="1"/>
          <w:numId w:val="2"/>
        </w:numPr>
        <w:rPr>
          <w:i/>
        </w:rPr>
      </w:pPr>
      <w:r w:rsidRPr="000F68CE">
        <w:rPr>
          <w:i/>
        </w:rPr>
        <w:t xml:space="preserve">I used </w:t>
      </w:r>
      <w:r w:rsidR="00303FCD">
        <w:rPr>
          <w:i/>
        </w:rPr>
        <w:t xml:space="preserve">pre-absorbed </w:t>
      </w:r>
      <w:r w:rsidRPr="000F68CE">
        <w:rPr>
          <w:i/>
        </w:rPr>
        <w:t xml:space="preserve">G anti-biotin HRP conjugated at 1/1000 and </w:t>
      </w:r>
      <w:r w:rsidR="00303FCD">
        <w:rPr>
          <w:i/>
        </w:rPr>
        <w:t xml:space="preserve">pre-absorbed </w:t>
      </w:r>
      <w:r w:rsidRPr="000F68CE">
        <w:rPr>
          <w:i/>
        </w:rPr>
        <w:t>Mouse anti-dig at 1/250 in PBTH</w:t>
      </w:r>
      <w:r w:rsidR="00070AE8">
        <w:rPr>
          <w:i/>
        </w:rPr>
        <w:t xml:space="preserve"> (250ul</w:t>
      </w:r>
      <w:r w:rsidR="008D22E8">
        <w:rPr>
          <w:i/>
        </w:rPr>
        <w:t>/sample for either</w:t>
      </w:r>
      <w:r w:rsidR="00070AE8">
        <w:rPr>
          <w:i/>
        </w:rPr>
        <w:t>)</w:t>
      </w:r>
      <w:r w:rsidR="00C4463E">
        <w:rPr>
          <w:i/>
        </w:rPr>
        <w:t xml:space="preserve">.  </w:t>
      </w:r>
    </w:p>
    <w:p w14:paraId="75C8CA03" w14:textId="77777777" w:rsidR="00C4463E" w:rsidRDefault="00C4463E" w:rsidP="000F68CE">
      <w:pPr>
        <w:pStyle w:val="ListParagraph"/>
        <w:numPr>
          <w:ilvl w:val="1"/>
          <w:numId w:val="2"/>
        </w:numPr>
        <w:rPr>
          <w:i/>
        </w:rPr>
      </w:pPr>
      <w:bookmarkStart w:id="1" w:name="_Hlk109728808"/>
      <w:r>
        <w:rPr>
          <w:i/>
        </w:rPr>
        <w:t>Biotin is probably not your best choice for a label as there is a lot of endogenous biotin around that gives a high background.  You can mitigate this somewhat by staining for a shorter time (see below), but it’s probably better to use dig, fluorescein or DNP.</w:t>
      </w:r>
    </w:p>
    <w:bookmarkEnd w:id="1"/>
    <w:p w14:paraId="32FACF00" w14:textId="77777777" w:rsidR="000F68CE" w:rsidRPr="00070AE8" w:rsidRDefault="00BD6709" w:rsidP="000F68CE">
      <w:pPr>
        <w:rPr>
          <w:b/>
          <w:u w:val="single"/>
        </w:rPr>
      </w:pPr>
      <w:r>
        <w:rPr>
          <w:b/>
          <w:u w:val="single"/>
        </w:rPr>
        <w:t>Day 3 (6</w:t>
      </w:r>
      <w:r w:rsidR="000F68CE" w:rsidRPr="00070AE8">
        <w:rPr>
          <w:b/>
          <w:u w:val="single"/>
        </w:rPr>
        <w:t xml:space="preserve"> hours)</w:t>
      </w:r>
    </w:p>
    <w:p w14:paraId="5AE3FADB" w14:textId="77777777" w:rsidR="000F68CE" w:rsidRDefault="008D22E8" w:rsidP="000F68CE">
      <w:pPr>
        <w:pStyle w:val="ListParagraph"/>
        <w:numPr>
          <w:ilvl w:val="0"/>
          <w:numId w:val="3"/>
        </w:numPr>
      </w:pPr>
      <w:r>
        <w:t>Wash</w:t>
      </w:r>
      <w:r w:rsidR="000F68CE">
        <w:t xml:space="preserve"> 4X 15 minutes RT with PBST</w:t>
      </w:r>
    </w:p>
    <w:p w14:paraId="771B84D0" w14:textId="77777777" w:rsidR="008D22E8" w:rsidRDefault="008D22E8" w:rsidP="000F68CE">
      <w:pPr>
        <w:pStyle w:val="ListParagraph"/>
        <w:numPr>
          <w:ilvl w:val="0"/>
          <w:numId w:val="3"/>
        </w:numPr>
      </w:pPr>
      <w:r>
        <w:t>If needed, incubate for two hours at room temperature with the secondary antibody, then wash again 4X 15 minutes RT with PBST.</w:t>
      </w:r>
    </w:p>
    <w:p w14:paraId="75C316EC" w14:textId="77777777" w:rsidR="000F68CE" w:rsidRDefault="000F68CE" w:rsidP="000F68CE">
      <w:pPr>
        <w:pStyle w:val="ListParagraph"/>
        <w:numPr>
          <w:ilvl w:val="0"/>
          <w:numId w:val="3"/>
        </w:numPr>
      </w:pPr>
      <w:r>
        <w:t xml:space="preserve">Stain 1X 15 minutes with </w:t>
      </w:r>
      <w:proofErr w:type="spellStart"/>
      <w:r>
        <w:t>tyramide</w:t>
      </w:r>
      <w:proofErr w:type="spellEnd"/>
      <w:r w:rsidR="00EA63BD">
        <w:t xml:space="preserve"> 488</w:t>
      </w:r>
      <w:r>
        <w:t xml:space="preserve"> (used 100ul)</w:t>
      </w:r>
    </w:p>
    <w:p w14:paraId="58534336" w14:textId="77777777" w:rsidR="000F68CE" w:rsidRDefault="000F68CE" w:rsidP="000F68CE">
      <w:pPr>
        <w:pStyle w:val="ListParagraph"/>
        <w:numPr>
          <w:ilvl w:val="1"/>
          <w:numId w:val="3"/>
        </w:numPr>
      </w:pPr>
      <w:r>
        <w:rPr>
          <w:b/>
        </w:rPr>
        <w:lastRenderedPageBreak/>
        <w:t xml:space="preserve">Tyr </w:t>
      </w:r>
      <w:r w:rsidRPr="002D2659">
        <w:t xml:space="preserve">in </w:t>
      </w:r>
      <w:r w:rsidRPr="000F68CE">
        <w:rPr>
          <w:u w:val="single"/>
        </w:rPr>
        <w:t>amplification buffer working solution</w:t>
      </w:r>
      <w:r w:rsidRPr="002D2659">
        <w:t xml:space="preserve"> (add 1 ul of 30% H</w:t>
      </w:r>
      <w:r w:rsidRPr="000F68CE">
        <w:rPr>
          <w:vertAlign w:val="subscript"/>
        </w:rPr>
        <w:t>2</w:t>
      </w:r>
      <w:r w:rsidRPr="002D2659">
        <w:t>O</w:t>
      </w:r>
      <w:r w:rsidRPr="000F68CE">
        <w:rPr>
          <w:vertAlign w:val="subscript"/>
        </w:rPr>
        <w:t>2</w:t>
      </w:r>
      <w:r w:rsidRPr="002D2659">
        <w:t xml:space="preserve"> from the kit into 200 ul of amplification buffer from the kit to get 0.15% H</w:t>
      </w:r>
      <w:r w:rsidRPr="000F68CE">
        <w:rPr>
          <w:vertAlign w:val="subscript"/>
        </w:rPr>
        <w:t>2</w:t>
      </w:r>
      <w:r w:rsidRPr="002D2659">
        <w:t>O</w:t>
      </w:r>
      <w:r w:rsidRPr="000F68CE">
        <w:rPr>
          <w:vertAlign w:val="subscript"/>
        </w:rPr>
        <w:t>2</w:t>
      </w:r>
      <w:r w:rsidRPr="002D2659">
        <w:t>, then add 1:100 this intermediate dilution to amplification buffer to make 0.0015% H</w:t>
      </w:r>
      <w:r w:rsidRPr="000F68CE">
        <w:rPr>
          <w:vertAlign w:val="subscript"/>
        </w:rPr>
        <w:t>2</w:t>
      </w:r>
      <w:r w:rsidRPr="002D2659">
        <w:t>O</w:t>
      </w:r>
      <w:r w:rsidRPr="000F68CE">
        <w:rPr>
          <w:vertAlign w:val="subscript"/>
        </w:rPr>
        <w:t>2</w:t>
      </w:r>
      <w:r w:rsidRPr="002D2659">
        <w:t>),</w:t>
      </w:r>
      <w:r>
        <w:t xml:space="preserve"> rock at </w:t>
      </w:r>
      <w:r w:rsidRPr="002D2659">
        <w:t>RT for 15 min</w:t>
      </w:r>
      <w:r w:rsidRPr="002D2659">
        <w:rPr>
          <w:rFonts w:hint="eastAsia"/>
        </w:rPr>
        <w:t>.</w:t>
      </w:r>
      <w:r>
        <w:t xml:space="preserve"> (Wrap the tube with foil to block light).</w:t>
      </w:r>
    </w:p>
    <w:p w14:paraId="0D46429D" w14:textId="77777777" w:rsidR="00777662" w:rsidRDefault="000F68CE" w:rsidP="00777662">
      <w:pPr>
        <w:pStyle w:val="ListParagraph"/>
        <w:rPr>
          <w:i/>
        </w:rPr>
      </w:pPr>
      <w:r w:rsidRPr="00777662">
        <w:rPr>
          <w:i/>
        </w:rPr>
        <w:t>Note: the amplification buffer working solution has to be fresh before each use</w:t>
      </w:r>
      <w:r w:rsidR="00777662">
        <w:rPr>
          <w:i/>
        </w:rPr>
        <w:t xml:space="preserve"> </w:t>
      </w:r>
      <w:bookmarkStart w:id="2" w:name="_Hlk109728903"/>
      <w:r w:rsidR="00777662">
        <w:rPr>
          <w:i/>
        </w:rPr>
        <w:t>and H2O2 has a limited shelf life (probably something around 6 months).  If your reactions stop working, try getting new H2O2).</w:t>
      </w:r>
      <w:r w:rsidR="00C4463E">
        <w:rPr>
          <w:i/>
        </w:rPr>
        <w:t xml:space="preserve">  </w:t>
      </w:r>
    </w:p>
    <w:p w14:paraId="5B764C43" w14:textId="77777777" w:rsidR="00C4463E" w:rsidRDefault="00C4463E" w:rsidP="00777662">
      <w:pPr>
        <w:pStyle w:val="ListParagraph"/>
        <w:rPr>
          <w:i/>
        </w:rPr>
      </w:pPr>
      <w:r>
        <w:rPr>
          <w:i/>
        </w:rPr>
        <w:t xml:space="preserve">Also note that </w:t>
      </w:r>
      <w:proofErr w:type="spellStart"/>
      <w:r>
        <w:rPr>
          <w:i/>
        </w:rPr>
        <w:t>ThermoFisher</w:t>
      </w:r>
      <w:proofErr w:type="spellEnd"/>
      <w:r>
        <w:rPr>
          <w:i/>
        </w:rPr>
        <w:t xml:space="preserve"> said that a solution of 50mM Tris pH 7.4 is a good amplification buffer.</w:t>
      </w:r>
    </w:p>
    <w:p w14:paraId="64588E43" w14:textId="77777777" w:rsidR="000F68CE" w:rsidRPr="00511484" w:rsidRDefault="00511484" w:rsidP="00511484">
      <w:pPr>
        <w:pStyle w:val="ListParagraph"/>
        <w:numPr>
          <w:ilvl w:val="1"/>
          <w:numId w:val="3"/>
        </w:numPr>
        <w:rPr>
          <w:i/>
        </w:rPr>
      </w:pPr>
      <w:r>
        <w:rPr>
          <w:i/>
        </w:rPr>
        <w:t xml:space="preserve">The time you stain with the TSA reagent can be varied.  </w:t>
      </w:r>
      <w:proofErr w:type="spellStart"/>
      <w:r>
        <w:rPr>
          <w:i/>
        </w:rPr>
        <w:t>Jie</w:t>
      </w:r>
      <w:proofErr w:type="spellEnd"/>
      <w:r>
        <w:rPr>
          <w:i/>
        </w:rPr>
        <w:t xml:space="preserve"> tried a lot of different times and found that 15 minutes usually worked well for Drosophila embryos.</w:t>
      </w:r>
      <w:r w:rsidR="00C4463E">
        <w:rPr>
          <w:i/>
        </w:rPr>
        <w:t xml:space="preserve">  I found that for my biotin probes staining for 5-6 minutes worked better (gave a better signal to noise ratio).</w:t>
      </w:r>
    </w:p>
    <w:bookmarkEnd w:id="2"/>
    <w:p w14:paraId="34569E12" w14:textId="77777777" w:rsidR="000F68CE" w:rsidRDefault="000F68CE" w:rsidP="000F68CE">
      <w:pPr>
        <w:pStyle w:val="ListParagraph"/>
        <w:numPr>
          <w:ilvl w:val="0"/>
          <w:numId w:val="3"/>
        </w:numPr>
      </w:pPr>
      <w:r>
        <w:t>Rinse 1X with PBST</w:t>
      </w:r>
    </w:p>
    <w:p w14:paraId="79FAEA6F" w14:textId="77777777" w:rsidR="000F68CE" w:rsidRDefault="000F68CE" w:rsidP="000F68CE">
      <w:pPr>
        <w:pStyle w:val="ListParagraph"/>
        <w:numPr>
          <w:ilvl w:val="0"/>
          <w:numId w:val="3"/>
        </w:numPr>
      </w:pPr>
      <w:r>
        <w:t>Wash 2X 5 minutes with PBST</w:t>
      </w:r>
    </w:p>
    <w:p w14:paraId="2A00929F" w14:textId="77777777" w:rsidR="00A344B5" w:rsidRDefault="00A344B5" w:rsidP="00A344B5">
      <w:pPr>
        <w:pStyle w:val="ListParagraph"/>
        <w:numPr>
          <w:ilvl w:val="1"/>
          <w:numId w:val="3"/>
        </w:numPr>
      </w:pPr>
      <w:r>
        <w:t>Stop here and mount if you are doing a single stain.</w:t>
      </w:r>
    </w:p>
    <w:p w14:paraId="73059F9F" w14:textId="77777777" w:rsidR="000F68CE" w:rsidRDefault="000F68CE" w:rsidP="000F68CE">
      <w:pPr>
        <w:pStyle w:val="ListParagraph"/>
        <w:numPr>
          <w:ilvl w:val="0"/>
          <w:numId w:val="3"/>
        </w:numPr>
      </w:pPr>
      <w:r>
        <w:t>Inactivate HRP with 1% H</w:t>
      </w:r>
      <w:r w:rsidRPr="002A783F">
        <w:rPr>
          <w:vertAlign w:val="subscript"/>
        </w:rPr>
        <w:t>2</w:t>
      </w:r>
      <w:r>
        <w:t>O</w:t>
      </w:r>
      <w:r w:rsidRPr="002A783F">
        <w:rPr>
          <w:vertAlign w:val="subscript"/>
        </w:rPr>
        <w:t xml:space="preserve">2 </w:t>
      </w:r>
      <w:r>
        <w:t>in PBST (4ul of 30% H</w:t>
      </w:r>
      <w:r w:rsidRPr="002A783F">
        <w:rPr>
          <w:vertAlign w:val="subscript"/>
        </w:rPr>
        <w:t>2</w:t>
      </w:r>
      <w:r>
        <w:t>O</w:t>
      </w:r>
      <w:r w:rsidRPr="002A783F">
        <w:rPr>
          <w:vertAlign w:val="subscript"/>
        </w:rPr>
        <w:t>2</w:t>
      </w:r>
      <w:r>
        <w:t xml:space="preserve"> with 116 ul of PBST) 15 minutes RT</w:t>
      </w:r>
    </w:p>
    <w:p w14:paraId="39C98A01" w14:textId="77777777" w:rsidR="008D22E8" w:rsidRPr="008D22E8" w:rsidRDefault="008D22E8" w:rsidP="008D22E8">
      <w:pPr>
        <w:pStyle w:val="ListParagraph"/>
        <w:numPr>
          <w:ilvl w:val="1"/>
          <w:numId w:val="3"/>
        </w:numPr>
        <w:rPr>
          <w:i/>
        </w:rPr>
      </w:pPr>
      <w:r w:rsidRPr="008D22E8">
        <w:rPr>
          <w:i/>
        </w:rPr>
        <w:t>Again this solution must be made fresh just before use.</w:t>
      </w:r>
    </w:p>
    <w:p w14:paraId="03C009EE" w14:textId="77777777" w:rsidR="00070AE8" w:rsidRDefault="00070AE8" w:rsidP="000F68CE">
      <w:pPr>
        <w:pStyle w:val="ListParagraph"/>
        <w:numPr>
          <w:ilvl w:val="0"/>
          <w:numId w:val="3"/>
        </w:numPr>
      </w:pPr>
      <w:r>
        <w:t>Rinse 3X with PBST</w:t>
      </w:r>
    </w:p>
    <w:p w14:paraId="7949A076" w14:textId="77777777" w:rsidR="00070AE8" w:rsidRDefault="00070AE8" w:rsidP="000F68CE">
      <w:pPr>
        <w:pStyle w:val="ListParagraph"/>
        <w:numPr>
          <w:ilvl w:val="0"/>
          <w:numId w:val="3"/>
        </w:numPr>
      </w:pPr>
      <w:r>
        <w:t>Wash 3X 10 minutes with PBST</w:t>
      </w:r>
    </w:p>
    <w:p w14:paraId="189DC721" w14:textId="77777777" w:rsidR="00EA63BD" w:rsidRDefault="00EA63BD" w:rsidP="000F68CE">
      <w:pPr>
        <w:pStyle w:val="ListParagraph"/>
        <w:numPr>
          <w:ilvl w:val="0"/>
          <w:numId w:val="3"/>
        </w:numPr>
      </w:pPr>
      <w:r>
        <w:t>Leave ON 4</w:t>
      </w:r>
      <w:r w:rsidRPr="00EA63BD">
        <w:rPr>
          <w:vertAlign w:val="superscript"/>
        </w:rPr>
        <w:t>o</w:t>
      </w:r>
      <w:r>
        <w:t>C</w:t>
      </w:r>
      <w:r w:rsidR="008D22E8">
        <w:t xml:space="preserve"> in the second primary Ab.</w:t>
      </w:r>
    </w:p>
    <w:p w14:paraId="77ED04FE" w14:textId="77777777" w:rsidR="00070AE8" w:rsidRPr="00070AE8" w:rsidRDefault="00BD6709" w:rsidP="00070AE8">
      <w:pPr>
        <w:rPr>
          <w:b/>
          <w:u w:val="single"/>
        </w:rPr>
      </w:pPr>
      <w:r>
        <w:rPr>
          <w:b/>
          <w:u w:val="single"/>
        </w:rPr>
        <w:t>Day 4 (1 hour</w:t>
      </w:r>
      <w:r w:rsidR="00070AE8" w:rsidRPr="00070AE8">
        <w:rPr>
          <w:b/>
          <w:u w:val="single"/>
        </w:rPr>
        <w:t>)</w:t>
      </w:r>
    </w:p>
    <w:p w14:paraId="5AE57377" w14:textId="77777777" w:rsidR="008D22E8" w:rsidRDefault="008D22E8" w:rsidP="008D22E8">
      <w:pPr>
        <w:pStyle w:val="ListParagraph"/>
        <w:numPr>
          <w:ilvl w:val="0"/>
          <w:numId w:val="4"/>
        </w:numPr>
      </w:pPr>
      <w:r>
        <w:t>Wash 4X 15 minutes RT with PBST</w:t>
      </w:r>
    </w:p>
    <w:p w14:paraId="2F8B8B5A" w14:textId="77777777" w:rsidR="008D22E8" w:rsidRDefault="008D22E8" w:rsidP="008D22E8">
      <w:pPr>
        <w:pStyle w:val="ListParagraph"/>
        <w:numPr>
          <w:ilvl w:val="0"/>
          <w:numId w:val="4"/>
        </w:numPr>
      </w:pPr>
      <w:r>
        <w:t>If needed, incubate for two hours at room temperature with the secondary antibody, then wash again 4X 15 minutes RT with PBST.</w:t>
      </w:r>
    </w:p>
    <w:p w14:paraId="176DBD7C" w14:textId="77777777" w:rsidR="00070AE8" w:rsidRDefault="00070AE8" w:rsidP="00070AE8">
      <w:pPr>
        <w:pStyle w:val="ListParagraph"/>
        <w:numPr>
          <w:ilvl w:val="0"/>
          <w:numId w:val="4"/>
        </w:numPr>
      </w:pPr>
      <w:r>
        <w:t xml:space="preserve">Stain 1X 15 minutes with </w:t>
      </w:r>
      <w:proofErr w:type="spellStart"/>
      <w:r>
        <w:t>tyramide</w:t>
      </w:r>
      <w:proofErr w:type="spellEnd"/>
      <w:r w:rsidR="00366A18">
        <w:t xml:space="preserve"> 555</w:t>
      </w:r>
      <w:r w:rsidR="00511484">
        <w:t xml:space="preserve"> (see above)</w:t>
      </w:r>
      <w:r w:rsidR="00366A18">
        <w:t>.</w:t>
      </w:r>
    </w:p>
    <w:p w14:paraId="680B03F4" w14:textId="77777777" w:rsidR="00070AE8" w:rsidRDefault="00070AE8" w:rsidP="00070AE8">
      <w:pPr>
        <w:pStyle w:val="ListParagraph"/>
        <w:numPr>
          <w:ilvl w:val="0"/>
          <w:numId w:val="4"/>
        </w:numPr>
      </w:pPr>
      <w:r>
        <w:t>Rinse 1X with PBST</w:t>
      </w:r>
    </w:p>
    <w:p w14:paraId="09A3938A" w14:textId="77777777" w:rsidR="00070AE8" w:rsidRDefault="00070AE8" w:rsidP="00070AE8">
      <w:pPr>
        <w:pStyle w:val="ListParagraph"/>
        <w:numPr>
          <w:ilvl w:val="0"/>
          <w:numId w:val="4"/>
        </w:numPr>
      </w:pPr>
      <w:r>
        <w:t>Wash 2X 5 minutes RT with PBST</w:t>
      </w:r>
    </w:p>
    <w:p w14:paraId="635FDE30" w14:textId="77777777" w:rsidR="00070AE8" w:rsidRDefault="00070AE8" w:rsidP="00070AE8">
      <w:pPr>
        <w:pStyle w:val="ListParagraph"/>
        <w:numPr>
          <w:ilvl w:val="0"/>
          <w:numId w:val="4"/>
        </w:numPr>
      </w:pPr>
      <w:r>
        <w:t xml:space="preserve">Mount in </w:t>
      </w:r>
      <w:proofErr w:type="spellStart"/>
      <w:r>
        <w:t>VectaShield</w:t>
      </w:r>
      <w:proofErr w:type="spellEnd"/>
      <w:r>
        <w:t>.</w:t>
      </w:r>
    </w:p>
    <w:p w14:paraId="6FDBB518" w14:textId="77777777" w:rsidR="000C7D15" w:rsidRPr="00070AE8" w:rsidRDefault="000C7D15" w:rsidP="000C7D15"/>
    <w:p w14:paraId="5ABF5BDE" w14:textId="77777777" w:rsidR="000C7D15" w:rsidRPr="000C7D15" w:rsidRDefault="000C7D15" w:rsidP="000C7D15">
      <w:pPr>
        <w:rPr>
          <w:b/>
          <w:u w:val="single"/>
        </w:rPr>
      </w:pPr>
      <w:r w:rsidRPr="000C7D15">
        <w:rPr>
          <w:b/>
          <w:u w:val="single"/>
        </w:rPr>
        <w:t>Hybridization Buffer (HB)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1350"/>
        <w:gridCol w:w="1259"/>
        <w:gridCol w:w="1558"/>
        <w:gridCol w:w="1559"/>
        <w:gridCol w:w="1559"/>
      </w:tblGrid>
      <w:tr w:rsidR="000C7D15" w14:paraId="350EB1EC" w14:textId="77777777" w:rsidTr="000C7D15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11E" w14:textId="77777777" w:rsidR="000C7D15" w:rsidRDefault="000C7D15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0433" w14:textId="77777777" w:rsidR="000C7D15" w:rsidRDefault="000C7D15">
            <w:pPr>
              <w:rPr>
                <w:b/>
              </w:rPr>
            </w:pPr>
            <w:r>
              <w:rPr>
                <w:b/>
              </w:rPr>
              <w:t>5 ml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C60" w14:textId="77777777" w:rsidR="000C7D15" w:rsidRDefault="000C7D15">
            <w:pPr>
              <w:rPr>
                <w:b/>
              </w:rPr>
            </w:pPr>
            <w:r>
              <w:rPr>
                <w:b/>
              </w:rPr>
              <w:t>10ml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DC2B" w14:textId="77777777" w:rsidR="000C7D15" w:rsidRDefault="000C7D15">
            <w:pPr>
              <w:rPr>
                <w:b/>
              </w:rPr>
            </w:pPr>
            <w:r>
              <w:rPr>
                <w:b/>
              </w:rPr>
              <w:t>15ml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76D" w14:textId="77777777" w:rsidR="000C7D15" w:rsidRDefault="000C7D15">
            <w:pPr>
              <w:rPr>
                <w:b/>
              </w:rPr>
            </w:pPr>
            <w:r>
              <w:rPr>
                <w:b/>
              </w:rPr>
              <w:t>20ml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5738" w14:textId="77777777" w:rsidR="000C7D15" w:rsidRDefault="000C7D15">
            <w:pPr>
              <w:rPr>
                <w:b/>
              </w:rPr>
            </w:pPr>
            <w:r>
              <w:rPr>
                <w:b/>
              </w:rPr>
              <w:t>50ml</w:t>
            </w:r>
          </w:p>
        </w:tc>
      </w:tr>
      <w:tr w:rsidR="000C7D15" w14:paraId="31E0D551" w14:textId="77777777" w:rsidTr="000C7D15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7584" w14:textId="77777777" w:rsidR="000C7D15" w:rsidRDefault="000C7D15">
            <w:pPr>
              <w:rPr>
                <w:b/>
              </w:rPr>
            </w:pPr>
            <w:r>
              <w:rPr>
                <w:b/>
              </w:rPr>
              <w:t>dH2O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0712" w14:textId="77777777" w:rsidR="000C7D15" w:rsidRDefault="000C7D15">
            <w:r>
              <w:t>1ml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0744" w14:textId="77777777" w:rsidR="000C7D15" w:rsidRDefault="000C7D15">
            <w:r>
              <w:t>2ml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B1B6" w14:textId="77777777" w:rsidR="000C7D15" w:rsidRDefault="000C7D15">
            <w:r>
              <w:t>3ml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969E" w14:textId="77777777" w:rsidR="000C7D15" w:rsidRDefault="000C7D15">
            <w:r>
              <w:t>4ml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FCD8" w14:textId="77777777" w:rsidR="000C7D15" w:rsidRDefault="000C7D15">
            <w:r>
              <w:t>10ml</w:t>
            </w:r>
          </w:p>
        </w:tc>
      </w:tr>
      <w:tr w:rsidR="000C7D15" w14:paraId="2B5AFE6F" w14:textId="77777777" w:rsidTr="000C7D15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5F04" w14:textId="77777777" w:rsidR="000C7D15" w:rsidRDefault="000C7D15">
            <w:pPr>
              <w:rPr>
                <w:b/>
              </w:rPr>
            </w:pPr>
            <w:r>
              <w:rPr>
                <w:b/>
              </w:rPr>
              <w:t>Formamide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E715" w14:textId="77777777" w:rsidR="000C7D15" w:rsidRDefault="000C7D15">
            <w:r>
              <w:t>2.5ml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E72C" w14:textId="77777777" w:rsidR="000C7D15" w:rsidRDefault="000C7D15">
            <w:r>
              <w:t>5ml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54F5" w14:textId="77777777" w:rsidR="000C7D15" w:rsidRDefault="000C7D15">
            <w:r>
              <w:t>7.5ml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09E7" w14:textId="77777777" w:rsidR="000C7D15" w:rsidRDefault="000C7D15">
            <w:r>
              <w:t>10ml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C706" w14:textId="77777777" w:rsidR="000C7D15" w:rsidRDefault="000C7D15">
            <w:r>
              <w:t>25ml</w:t>
            </w:r>
          </w:p>
        </w:tc>
      </w:tr>
      <w:tr w:rsidR="000C7D15" w14:paraId="7C4B8E9F" w14:textId="77777777" w:rsidTr="000C7D15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A637" w14:textId="77777777" w:rsidR="000C7D15" w:rsidRDefault="000C7D15">
            <w:pPr>
              <w:rPr>
                <w:b/>
              </w:rPr>
            </w:pPr>
            <w:r>
              <w:rPr>
                <w:b/>
              </w:rPr>
              <w:t>20X SSC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672C" w14:textId="77777777" w:rsidR="000C7D15" w:rsidRDefault="000C7D15">
            <w:r>
              <w:t>1.25ml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B8A1" w14:textId="77777777" w:rsidR="000C7D15" w:rsidRDefault="000C7D15">
            <w:r>
              <w:t>2.5ml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FACA" w14:textId="77777777" w:rsidR="000C7D15" w:rsidRDefault="000C7D15">
            <w:r>
              <w:t>3.75ml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EC6E" w14:textId="77777777" w:rsidR="000C7D15" w:rsidRDefault="000C7D15">
            <w:r>
              <w:t>5ml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F1A8" w14:textId="77777777" w:rsidR="000C7D15" w:rsidRDefault="000C7D15">
            <w:r>
              <w:t>12.5ml</w:t>
            </w:r>
          </w:p>
        </w:tc>
      </w:tr>
      <w:tr w:rsidR="000C7D15" w14:paraId="059CAE74" w14:textId="77777777" w:rsidTr="000C7D15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6CBC" w14:textId="77777777" w:rsidR="000C7D15" w:rsidRDefault="000C7D15">
            <w:pPr>
              <w:rPr>
                <w:b/>
              </w:rPr>
            </w:pPr>
            <w:r>
              <w:rPr>
                <w:b/>
              </w:rPr>
              <w:t>10% Tween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559E" w14:textId="77777777" w:rsidR="000C7D15" w:rsidRDefault="000C7D15">
            <w:r>
              <w:t>50 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68D6" w14:textId="77777777" w:rsidR="000C7D15" w:rsidRDefault="000C7D15">
            <w:r>
              <w:t>100 ul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BCCD" w14:textId="77777777" w:rsidR="000C7D15" w:rsidRDefault="000C7D15">
            <w:r>
              <w:t>150 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BCE5" w14:textId="77777777" w:rsidR="000C7D15" w:rsidRDefault="000C7D15">
            <w:r>
              <w:t>200 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6E6B" w14:textId="77777777" w:rsidR="000C7D15" w:rsidRDefault="000C7D15">
            <w:r>
              <w:t>500 ul</w:t>
            </w:r>
          </w:p>
        </w:tc>
      </w:tr>
      <w:tr w:rsidR="000C7D15" w14:paraId="592525B4" w14:textId="77777777" w:rsidTr="000C7D15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58BA" w14:textId="77777777" w:rsidR="000C7D15" w:rsidRDefault="000C7D15">
            <w:pPr>
              <w:rPr>
                <w:b/>
              </w:rPr>
            </w:pPr>
            <w:r>
              <w:rPr>
                <w:b/>
              </w:rPr>
              <w:t>Salmon Sperm DNA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C770" w14:textId="77777777" w:rsidR="000C7D15" w:rsidRDefault="000C7D15">
            <w:r>
              <w:t>50 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F4CB" w14:textId="77777777" w:rsidR="000C7D15" w:rsidRDefault="000C7D15">
            <w:r>
              <w:t>100 ul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F92C" w14:textId="77777777" w:rsidR="000C7D15" w:rsidRDefault="000C7D15">
            <w:r>
              <w:t>150 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D644" w14:textId="77777777" w:rsidR="000C7D15" w:rsidRDefault="000C7D15">
            <w:r>
              <w:t>200 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BAE8" w14:textId="77777777" w:rsidR="000C7D15" w:rsidRDefault="000C7D15">
            <w:r>
              <w:t>500 ul</w:t>
            </w:r>
          </w:p>
        </w:tc>
      </w:tr>
      <w:tr w:rsidR="000C7D15" w14:paraId="4FB6258D" w14:textId="77777777" w:rsidTr="000C7D15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58EA" w14:textId="77777777" w:rsidR="000C7D15" w:rsidRDefault="000C7D15">
            <w:pPr>
              <w:rPr>
                <w:b/>
              </w:rPr>
            </w:pPr>
            <w:r>
              <w:rPr>
                <w:b/>
              </w:rPr>
              <w:t>Heparin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B969" w14:textId="77777777" w:rsidR="000C7D15" w:rsidRDefault="000C7D15">
            <w:r>
              <w:t>50 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D805" w14:textId="77777777" w:rsidR="000C7D15" w:rsidRDefault="000C7D15">
            <w:r>
              <w:t>100 ul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2C2E" w14:textId="77777777" w:rsidR="000C7D15" w:rsidRDefault="000C7D15">
            <w:r>
              <w:t>150 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BDFE" w14:textId="77777777" w:rsidR="000C7D15" w:rsidRDefault="000C7D15">
            <w:r>
              <w:t>200 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BEF2" w14:textId="77777777" w:rsidR="000C7D15" w:rsidRDefault="000C7D15">
            <w:r>
              <w:t>500 ul</w:t>
            </w:r>
          </w:p>
        </w:tc>
      </w:tr>
      <w:tr w:rsidR="000C7D15" w14:paraId="6BE1E164" w14:textId="77777777" w:rsidTr="000C7D15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71AF" w14:textId="77777777" w:rsidR="000C7D15" w:rsidRDefault="000C7D15">
            <w:pPr>
              <w:rPr>
                <w:b/>
              </w:rPr>
            </w:pPr>
            <w:r>
              <w:rPr>
                <w:b/>
              </w:rPr>
              <w:t>tRNA (20mg/ml)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09C9" w14:textId="77777777" w:rsidR="000C7D15" w:rsidRDefault="000C7D15">
            <w:r>
              <w:t>25ul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3B3D" w14:textId="77777777" w:rsidR="000C7D15" w:rsidRDefault="000C7D15">
            <w:r>
              <w:t>50ul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5720" w14:textId="77777777" w:rsidR="000C7D15" w:rsidRDefault="000C7D15">
            <w:r>
              <w:t>75ul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1070" w14:textId="77777777" w:rsidR="000C7D15" w:rsidRDefault="000C7D15">
            <w:r>
              <w:t>100ul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59CD" w14:textId="77777777" w:rsidR="000C7D15" w:rsidRDefault="000C7D15">
            <w:r>
              <w:t>250ul</w:t>
            </w:r>
          </w:p>
        </w:tc>
      </w:tr>
    </w:tbl>
    <w:p w14:paraId="5390BAF4" w14:textId="77777777" w:rsidR="000C7D15" w:rsidRPr="000F68CE" w:rsidRDefault="000C7D15" w:rsidP="00070AE8"/>
    <w:sectPr w:rsidR="000C7D15" w:rsidRPr="000F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0443"/>
    <w:multiLevelType w:val="hybridMultilevel"/>
    <w:tmpl w:val="DB1C4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A6296"/>
    <w:multiLevelType w:val="hybridMultilevel"/>
    <w:tmpl w:val="6366C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B27B3"/>
    <w:multiLevelType w:val="hybridMultilevel"/>
    <w:tmpl w:val="123A8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6E2190"/>
    <w:multiLevelType w:val="hybridMultilevel"/>
    <w:tmpl w:val="6A5E0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32E6C"/>
    <w:multiLevelType w:val="hybridMultilevel"/>
    <w:tmpl w:val="CB0C0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011131">
    <w:abstractNumId w:val="1"/>
  </w:num>
  <w:num w:numId="2" w16cid:durableId="770664099">
    <w:abstractNumId w:val="4"/>
  </w:num>
  <w:num w:numId="3" w16cid:durableId="289046417">
    <w:abstractNumId w:val="3"/>
  </w:num>
  <w:num w:numId="4" w16cid:durableId="405078070">
    <w:abstractNumId w:val="0"/>
  </w:num>
  <w:num w:numId="5" w16cid:durableId="2230273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CE"/>
    <w:rsid w:val="00070AE8"/>
    <w:rsid w:val="000C7D15"/>
    <w:rsid w:val="000E0FFB"/>
    <w:rsid w:val="000F68CE"/>
    <w:rsid w:val="002A783F"/>
    <w:rsid w:val="00303FCD"/>
    <w:rsid w:val="00366A18"/>
    <w:rsid w:val="00371389"/>
    <w:rsid w:val="004B67D5"/>
    <w:rsid w:val="00511484"/>
    <w:rsid w:val="006F33C2"/>
    <w:rsid w:val="00777662"/>
    <w:rsid w:val="008D22E8"/>
    <w:rsid w:val="00A344B5"/>
    <w:rsid w:val="00B729B1"/>
    <w:rsid w:val="00BD6709"/>
    <w:rsid w:val="00C4463E"/>
    <w:rsid w:val="00DD45D3"/>
    <w:rsid w:val="00E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3C53"/>
  <w15:chartTrackingRefBased/>
  <w15:docId w15:val="{DEEA176A-DEF6-40A7-BAE6-7E5D44B7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8CE"/>
    <w:pPr>
      <w:ind w:left="720"/>
      <w:contextualSpacing/>
    </w:pPr>
  </w:style>
  <w:style w:type="table" w:styleId="TableGrid">
    <w:name w:val="Table Grid"/>
    <w:basedOn w:val="TableNormal"/>
    <w:uiPriority w:val="39"/>
    <w:rsid w:val="000C7D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</dc:creator>
  <cp:keywords/>
  <dc:description/>
  <cp:lastModifiedBy>Microsoft Office User</cp:lastModifiedBy>
  <cp:revision>6</cp:revision>
  <dcterms:created xsi:type="dcterms:W3CDTF">2017-10-31T19:30:00Z</dcterms:created>
  <dcterms:modified xsi:type="dcterms:W3CDTF">2022-08-04T16:25:00Z</dcterms:modified>
</cp:coreProperties>
</file>